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5B" w:rsidRDefault="006B385B" w:rsidP="006B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 МО</w:t>
      </w:r>
    </w:p>
    <w:p w:rsidR="006B385B" w:rsidRDefault="006B385B" w:rsidP="006B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МАМСКО-ЧУЙСКОГО РАЙОНА</w:t>
      </w:r>
    </w:p>
    <w:p w:rsidR="006B385B" w:rsidRDefault="006B385B" w:rsidP="006B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№2</w:t>
      </w:r>
    </w:p>
    <w:p w:rsidR="006B385B" w:rsidRDefault="006B385B" w:rsidP="006B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«Проверка законного и результативного использования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городским поселением бюджетных средств выделенных на реализацию мероприятий перечня народных инициатив за 2015 год»</w:t>
      </w:r>
    </w:p>
    <w:p w:rsidR="006B385B" w:rsidRDefault="006B385B" w:rsidP="006B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85B" w:rsidRDefault="006B385B" w:rsidP="006B38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14.05.2016г.-31.05.2016г.                                                                                 п. Мама                                           </w:t>
      </w:r>
    </w:p>
    <w:p w:rsidR="006B385B" w:rsidRDefault="006B385B" w:rsidP="006B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5B" w:rsidRDefault="006B385B" w:rsidP="006B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5B" w:rsidRDefault="006B385B" w:rsidP="006B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Проверка проведена аудитором КСП МО Мамско-Чуйского района </w:t>
      </w:r>
      <w:proofErr w:type="spellStart"/>
      <w:r>
        <w:rPr>
          <w:rFonts w:ascii="Times New Roman" w:hAnsi="Times New Roman"/>
          <w:sz w:val="28"/>
          <w:szCs w:val="28"/>
        </w:rPr>
        <w:t>Чупаковой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в соответствии со ст.18 федерального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 соглашением о сотрудничестве между КСП Иркутской области и КСП МО Мамско-Чуйского района (далее – КСП района); ст.9 Положения «О Контрольно-счётной палате Мамско-Чуйского района», утверждённого решением Думы Мамско-Чуйского района от 26.07.2012г. № 102; п.3.3 плана контрольных мероприятий КСП района на 2016 год.</w:t>
      </w:r>
    </w:p>
    <w:p w:rsidR="006B385B" w:rsidRDefault="006B385B" w:rsidP="006B385B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п. 3.3 плана работы Контрольно-счетной палаты на 2016 год. 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sz w:val="28"/>
          <w:szCs w:val="28"/>
        </w:rPr>
        <w:t>средства областного и местного бюджета, выделенных на реализацию мероприятий перечня проектов народных инициатив.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01.01.2015г.-31.12.2015г.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проверяемых средств:</w:t>
      </w:r>
      <w:r>
        <w:rPr>
          <w:rFonts w:ascii="Times New Roman" w:hAnsi="Times New Roman"/>
          <w:sz w:val="28"/>
          <w:szCs w:val="28"/>
        </w:rPr>
        <w:t xml:space="preserve"> 133,8 тыс. рублей.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соблюдения действующего законодательства при использовании средств бюджета.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2015 году,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B385B" w:rsidRDefault="006B385B" w:rsidP="006B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6B385B" w:rsidRDefault="006B385B" w:rsidP="006B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85B" w:rsidRDefault="006B385B" w:rsidP="006B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Порядок предоставления и расходования в 2015 году субсидий муниципальным образованием установлен Постановлением Правительства Иркутской области от 19 мая 2015 года №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инициатив» (далее – Порядок).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Формирование перечня мероприятий народных инициатив (далее – Перечень) произведено с учетом предложений населения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2015 году в рамках проекта «Народные инициативы» от 15 мая 2015 года: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систем оповещения предупреждения гражданской обороны и защиты населения от чрезвычайных ситуаций Сирена С-40-С в количестве 2 ед.;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пожарного подземного гидранта Н-0,1 в количестве 3ед.;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стали в комплекте с фланцами под ПГ в количестве 3ед.;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фланцевых заглушек в количестве 3 ед.;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указателей к ПГ (световые) в количестве 3 ед.;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-приобретение огнетушителей ранцевых «Ермак РП-182» (резиновый корпус и металлический гидропульт) в количестве 5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костюмов камуфляжных для пожарной дружины в количестве 10 ед. Всего на сумму 133,8 тыс. рублей, в том числе из средств областного бюджета на сумму 127,1 тыс. рублей, из средств местного бюджета 6,7 тыс. рублей.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>
        <w:rPr>
          <w:rFonts w:ascii="Times New Roman" w:hAnsi="Times New Roman"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 утверждены расходные обязательства, определяющие реализацию мероприятий Перечня на 2015 год.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16.06.2015 года № 17 «Об утверждении расходных обязательств по финансированию мероприятий перечня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2015 год» утверждается Перечень, определяется порядок организации работы по выполнению и выполнение обязательств, ответственным исполнителем за реализацию проектов народных инициатив назначается – заведующая отделом по экономической политике Ярыгина Н.Н. в приложении 1 к распоряжению администрации от 16.06.2015 года № 17 установлен срок реализации мероприятий Перечня – до 15 декабря 2015 года.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распоряжением определен источник финансирования мероприятий, отмечено, что средства субсидии используются на мероприятия, согласно протоколу собрания граждан о реализации мероприятий перечня проектов народных инициатив в 2015 году.            Изменения в бюджет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22.05.2015 года № 100 по подразделу 03.10 «Обеспечение </w:t>
      </w:r>
      <w:r>
        <w:rPr>
          <w:rFonts w:ascii="Times New Roman" w:hAnsi="Times New Roman"/>
          <w:sz w:val="28"/>
          <w:szCs w:val="28"/>
        </w:rPr>
        <w:lastRenderedPageBreak/>
        <w:t>пожарной безопасности» разделу 03.00 «Национальная безопасность и правоохранительная деятельность» в сумме 127,1 тыс. рублей.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29 июня 2015года № 62-57-82-2/5 «О предоставлении в 2015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инициатив» (далее – Соглашение) в соответствии с которым, предусмотрены средства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народных инициатив в размере 127,1 тыс. рублей в пределах бюджетных ассигнований, установленных подпрограммой «Государственная политика с сфере экономического развития Иркутской области» на 2015-2020годы государственной программы Иркутской области «Экономическое развитие и инновационная экономика» на 2015-2020годы, утвержденной Постановлением Правительства Иркутской области от 23.10.2014г. № 517-пп.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/>
          <w:sz w:val="28"/>
          <w:szCs w:val="28"/>
        </w:rPr>
        <w:t>софинсирования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10 Постановления.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течении двух из трех последних отчетных финансовых лет превышала 20% собственных доходов местного бюджета, размер финансирования Перечня из местного бюджета не должен быть менее 5% от общего объема финансирования Перечня. Размер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составил 6,7 тыс. рублей или 5% от общего объема финансирования Перечня.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 п.4.1.9 – обеспечение первичных мер пожарной безопасности в границах населенных пунктов поселения, п.14.1.23 –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 Федерального Закона  от 06.10.2003 года № 131-ФЗ «Об общих принципах организации местного самоуправления в РФ» с дополнениями и изменениями.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334 от 31.07.2015 года в сумме 127,1 тыс. рублей. 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</w:t>
      </w:r>
      <w:r>
        <w:rPr>
          <w:rFonts w:ascii="Times New Roman" w:hAnsi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 с изменениями и дополнениями (далее - № 44-ФЗ) </w:t>
      </w:r>
      <w:proofErr w:type="spellStart"/>
      <w:r>
        <w:rPr>
          <w:rFonts w:ascii="Times New Roman" w:hAnsi="Times New Roman"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 в целях реализации мероприятий Перечня в 2015 году заключены договора с единственными поставщиками: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1.Договор поставки № 393 от 03.06.2015 года заключенный между «Поставщиком» в лице ИП </w:t>
      </w:r>
      <w:proofErr w:type="spellStart"/>
      <w:r>
        <w:rPr>
          <w:rFonts w:ascii="Times New Roman" w:hAnsi="Times New Roman"/>
          <w:sz w:val="28"/>
          <w:szCs w:val="28"/>
        </w:rPr>
        <w:t>Скябас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Антанасович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«Покупателем» в лице </w:t>
      </w:r>
      <w:proofErr w:type="spellStart"/>
      <w:r>
        <w:rPr>
          <w:rFonts w:ascii="Times New Roman" w:hAnsi="Times New Roman"/>
          <w:sz w:val="28"/>
          <w:szCs w:val="28"/>
        </w:rPr>
        <w:t>Балуткина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Владимировича на покупку:</w:t>
      </w:r>
    </w:p>
    <w:p w:rsidR="006B385B" w:rsidRDefault="006B385B" w:rsidP="006B3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-пожарный подземный гидрант Н-1,03 ед. стали в комплекте с фланцами под ПГ в количестве 3 штуки на общую сумму 52800,0 рублей;</w:t>
      </w:r>
    </w:p>
    <w:p w:rsidR="006B385B" w:rsidRDefault="006B385B" w:rsidP="006B3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-указатели к ПГ световые в количестве 3 штуки на общую сумму 780,0 рублей;</w:t>
      </w:r>
    </w:p>
    <w:p w:rsidR="006B385B" w:rsidRDefault="006B385B" w:rsidP="006B3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-огнетушитель ранцевый «Ермак» РП-182 (резиновый корпус и металлический гидропульт) в количестве 5 штук на общую сумму 40000,0 рублей.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счета произведена п/п № 312 от 24.07.2015 года на сумму 780,0 рублей-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счету № 393 от 03.06.2015 года по договору № 393 от 03.06.2015 года на приобретение таблички ПГ, п/п 308 от 23.07.2015 года на сумму 5909,0 рублей –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счету № 393 от 03.06.2015 года по договору № 393 от 03.06.2015 года на приобретение гидранта пожарного, огнетушителей ранцевых, п/п № 375 от 29.09.2015 года на сумму 86891,0 рублей – оплата по счету № 393 от 03.06.2015 года по договору № 393 от 03.06.2015 года на приобретение гидранта пожарного, огнетушителей ранцевых. </w:t>
      </w:r>
    </w:p>
    <w:p w:rsidR="006B385B" w:rsidRDefault="006B385B" w:rsidP="006B3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2.Договор поставки № 69 от 17.11.2015 года заключенный между «Поставщиком» в лице ИП Чуваева Андрея Викторовича и «Покупателем» в лице </w:t>
      </w:r>
      <w:proofErr w:type="spellStart"/>
      <w:r>
        <w:rPr>
          <w:rFonts w:ascii="Times New Roman" w:hAnsi="Times New Roman"/>
          <w:sz w:val="28"/>
          <w:szCs w:val="28"/>
        </w:rPr>
        <w:t>Балуткина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Владимировича на покупку сирены С-28С в количестве 2 штуки на общую сумму 38000,0 рублей. Оплата счета произведена п/п № 476 от 20.11.2015 года в сумме 38000,0 рублей. 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данных реестра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01.05.2016 года имущество:</w:t>
      </w:r>
    </w:p>
    <w:p w:rsidR="006B385B" w:rsidRDefault="006B385B" w:rsidP="006B38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Сирена оповещения С-28С в количестве 2 штуки на сумму 38000,0 рублей,</w:t>
      </w:r>
    </w:p>
    <w:p w:rsidR="006B385B" w:rsidRDefault="006B385B" w:rsidP="006B38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Гидрант пожарный Н-1,0 в количестве 3 штуки на сумму 52800,0 рублей,</w:t>
      </w:r>
    </w:p>
    <w:p w:rsidR="006B385B" w:rsidRDefault="006B385B" w:rsidP="006B38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Табличка ПК 300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300 в количестве 3 штуки на сумму 780,0 рублей, </w:t>
      </w:r>
    </w:p>
    <w:p w:rsidR="006B385B" w:rsidRDefault="006B385B" w:rsidP="006B38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Огнетушитель ранцевый в количестве 5 штук на сумму 40000,0 рублей. </w:t>
      </w:r>
    </w:p>
    <w:p w:rsidR="006B385B" w:rsidRDefault="006B385B" w:rsidP="006B3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товарной накладной к счету № 393 от 03.06.2015 года от ИП     </w:t>
      </w:r>
      <w:proofErr w:type="spellStart"/>
      <w:r>
        <w:rPr>
          <w:rFonts w:ascii="Times New Roman" w:hAnsi="Times New Roman"/>
          <w:sz w:val="28"/>
          <w:szCs w:val="28"/>
        </w:rPr>
        <w:t>Скябас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Антанасович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 получен 03.06.2015 года, товарной </w:t>
      </w:r>
      <w:proofErr w:type="gramStart"/>
      <w:r>
        <w:rPr>
          <w:rFonts w:ascii="Times New Roman" w:hAnsi="Times New Roman"/>
          <w:sz w:val="28"/>
          <w:szCs w:val="28"/>
        </w:rPr>
        <w:t>накладной  №</w:t>
      </w:r>
      <w:proofErr w:type="gramEnd"/>
      <w:r>
        <w:rPr>
          <w:rFonts w:ascii="Times New Roman" w:hAnsi="Times New Roman"/>
          <w:sz w:val="28"/>
          <w:szCs w:val="28"/>
        </w:rPr>
        <w:t xml:space="preserve"> 1386 от 23.11.2015 года от ИП Чуваева Андрея Викторовича товар получен 23.11.2015 года </w:t>
      </w:r>
      <w:proofErr w:type="spellStart"/>
      <w:r>
        <w:rPr>
          <w:rFonts w:ascii="Times New Roman" w:hAnsi="Times New Roman"/>
          <w:sz w:val="28"/>
          <w:szCs w:val="28"/>
        </w:rPr>
        <w:t>Балуткиным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Н.В..  Имущество поставлено на бухгалтерский учет 16.01.2016 года на основании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13.01.2016 года № 2.</w:t>
      </w:r>
    </w:p>
    <w:p w:rsidR="006B385B" w:rsidRDefault="006B385B" w:rsidP="006B3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Остаток неиспользованных денежных средств на основании служебной записки № 2 от 13.01.2016 года в сумме 2209,0 тыс. рублей перечислен в областной бюджет заявкой на возврат № 1 от </w:t>
      </w:r>
    </w:p>
    <w:p w:rsidR="006B385B" w:rsidRDefault="006B385B" w:rsidP="006B3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Выводы: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реализации перечня народных инициатив признать необходимой и использование денежных средств эффективными.</w:t>
      </w:r>
    </w:p>
    <w:p w:rsidR="006B385B" w:rsidRDefault="006B385B" w:rsidP="006B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Мамско-Чуйского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Ю.Н.Чупакова</w:t>
      </w:r>
      <w:proofErr w:type="spellEnd"/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Н.В.Балуткин</w:t>
      </w:r>
      <w:proofErr w:type="spellEnd"/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отделом по</w:t>
      </w: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экономической политике                                                     Н.Н.Ярыгина </w:t>
      </w: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6B385B" w:rsidRDefault="006B385B" w:rsidP="006B385B">
      <w:pPr>
        <w:spacing w:after="0"/>
        <w:rPr>
          <w:rFonts w:ascii="Times New Roman" w:hAnsi="Times New Roman"/>
          <w:sz w:val="28"/>
          <w:szCs w:val="28"/>
        </w:rPr>
      </w:pPr>
    </w:p>
    <w:p w:rsidR="004360FB" w:rsidRDefault="004360FB">
      <w:bookmarkStart w:id="0" w:name="_GoBack"/>
      <w:bookmarkEnd w:id="0"/>
    </w:p>
    <w:sectPr w:rsidR="0043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20CD"/>
    <w:multiLevelType w:val="hybridMultilevel"/>
    <w:tmpl w:val="0FB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D"/>
    <w:rsid w:val="004360FB"/>
    <w:rsid w:val="006B385B"/>
    <w:rsid w:val="00E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79B4-8A9C-40CF-B58C-8B5C221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5B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3</cp:revision>
  <dcterms:created xsi:type="dcterms:W3CDTF">2017-07-13T04:36:00Z</dcterms:created>
  <dcterms:modified xsi:type="dcterms:W3CDTF">2017-07-13T04:36:00Z</dcterms:modified>
</cp:coreProperties>
</file>